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E1B" w:rsidRPr="00A43D1A" w:rsidRDefault="00947E1B" w:rsidP="00947E1B">
      <w:pPr>
        <w:pStyle w:val="Puesto"/>
        <w:numPr>
          <w:ilvl w:val="0"/>
          <w:numId w:val="1"/>
        </w:numPr>
        <w:spacing w:before="0" w:after="0"/>
        <w:ind w:left="709"/>
        <w:jc w:val="left"/>
        <w:rPr>
          <w:rFonts w:asciiTheme="majorHAnsi" w:eastAsia="Times" w:hAnsiTheme="majorHAnsi"/>
          <w:sz w:val="24"/>
          <w:szCs w:val="24"/>
          <w:u w:val="single"/>
        </w:rPr>
      </w:pPr>
      <w:bookmarkStart w:id="0" w:name="_Toc476742911"/>
      <w:r w:rsidRPr="00A43D1A">
        <w:rPr>
          <w:rFonts w:asciiTheme="majorHAnsi" w:eastAsia="Times" w:hAnsiTheme="majorHAnsi"/>
          <w:sz w:val="24"/>
          <w:szCs w:val="24"/>
          <w:u w:val="single"/>
        </w:rPr>
        <w:t>Productos y plazos de entrega</w:t>
      </w:r>
      <w:bookmarkEnd w:id="0"/>
    </w:p>
    <w:p w:rsidR="00947E1B" w:rsidRDefault="00947E1B" w:rsidP="00947E1B">
      <w:pPr>
        <w:pStyle w:val="Default"/>
        <w:jc w:val="both"/>
        <w:rPr>
          <w:rFonts w:asciiTheme="majorHAnsi" w:hAnsiTheme="majorHAnsi" w:cs="Arial"/>
        </w:rPr>
      </w:pPr>
    </w:p>
    <w:p w:rsidR="00947E1B" w:rsidRPr="003126D2" w:rsidRDefault="00947E1B" w:rsidP="00947E1B">
      <w:pPr>
        <w:jc w:val="both"/>
        <w:rPr>
          <w:rFonts w:asciiTheme="majorHAnsi" w:hAnsiTheme="majorHAnsi" w:cs="Arial"/>
        </w:rPr>
      </w:pPr>
      <w:r w:rsidRPr="00614BDE">
        <w:rPr>
          <w:rFonts w:asciiTheme="majorHAnsi" w:hAnsiTheme="majorHAnsi" w:cs="Arial"/>
        </w:rPr>
        <w:t xml:space="preserve">El calendario de entregas a </w:t>
      </w:r>
      <w:r>
        <w:rPr>
          <w:rFonts w:asciiTheme="majorHAnsi" w:hAnsiTheme="majorHAnsi" w:cs="Arial"/>
          <w:bCs/>
          <w:i/>
          <w:shd w:val="clear" w:color="auto" w:fill="F2F2F2" w:themeFill="background1" w:themeFillShade="F2"/>
        </w:rPr>
        <w:t>Dirección General de Programación, Organización y Presupuesto</w:t>
      </w:r>
      <w:r w:rsidRPr="00A43D1A">
        <w:rPr>
          <w:rFonts w:asciiTheme="majorHAnsi" w:hAnsiTheme="majorHAnsi" w:cs="Arial"/>
        </w:rPr>
        <w:t xml:space="preserve"> </w:t>
      </w:r>
      <w:r w:rsidRPr="00614BDE">
        <w:rPr>
          <w:rFonts w:asciiTheme="majorHAnsi" w:hAnsiTheme="majorHAnsi" w:cs="Arial"/>
        </w:rPr>
        <w:t xml:space="preserve">se define en la </w:t>
      </w:r>
      <w:r w:rsidRPr="00EA5BA2">
        <w:rPr>
          <w:rFonts w:asciiTheme="majorHAnsi" w:hAnsiTheme="majorHAnsi" w:cs="Arial"/>
        </w:rPr>
        <w:t>Tabla B</w:t>
      </w:r>
      <w:r w:rsidRPr="00614BDE">
        <w:rPr>
          <w:rFonts w:asciiTheme="majorHAnsi" w:hAnsiTheme="majorHAnsi" w:cs="Arial"/>
          <w:b/>
        </w:rPr>
        <w:t xml:space="preserve">. </w:t>
      </w:r>
      <w:r w:rsidRPr="00614BDE">
        <w:rPr>
          <w:rFonts w:asciiTheme="majorHAnsi" w:hAnsiTheme="majorHAnsi" w:cs="Arial"/>
        </w:rPr>
        <w:t xml:space="preserve">En cada una de las etapas señaladas, la instancia evaluadora debe atender puntualmente las fechas señaladas y acordar con anticipación el horario de las reuniones, así como los requerimientos que necesita para presentar sus resultados. </w:t>
      </w:r>
    </w:p>
    <w:p w:rsidR="00947E1B" w:rsidRPr="00A43D1A" w:rsidRDefault="00947E1B" w:rsidP="00947E1B">
      <w:pPr>
        <w:pStyle w:val="Default"/>
        <w:jc w:val="both"/>
        <w:rPr>
          <w:rFonts w:asciiTheme="majorHAnsi" w:hAnsiTheme="majorHAnsi" w:cs="Arial"/>
        </w:rPr>
      </w:pPr>
    </w:p>
    <w:p w:rsidR="00947E1B" w:rsidRPr="00A43D1A" w:rsidRDefault="00947E1B" w:rsidP="00947E1B">
      <w:pPr>
        <w:pStyle w:val="Textosinformato"/>
        <w:jc w:val="center"/>
        <w:rPr>
          <w:rFonts w:asciiTheme="majorHAnsi" w:eastAsia="Times" w:hAnsiTheme="majorHAnsi"/>
          <w:b/>
          <w:sz w:val="24"/>
          <w:szCs w:val="24"/>
        </w:rPr>
      </w:pPr>
      <w:r w:rsidRPr="00A43D1A">
        <w:rPr>
          <w:rFonts w:asciiTheme="majorHAnsi" w:eastAsia="Times" w:hAnsiTheme="majorHAnsi"/>
          <w:b/>
          <w:sz w:val="24"/>
          <w:szCs w:val="24"/>
        </w:rPr>
        <w:t>Tabla B. Calendario de productos a entregar</w:t>
      </w:r>
    </w:p>
    <w:tbl>
      <w:tblPr>
        <w:tblpPr w:leftFromText="141" w:rightFromText="141" w:vertAnchor="text" w:horzAnchor="margin" w:tblpXSpec="center" w:tblpY="157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08"/>
        <w:gridCol w:w="2552"/>
      </w:tblGrid>
      <w:tr w:rsidR="00947E1B" w:rsidRPr="00A43D1A" w:rsidTr="004D123C">
        <w:trPr>
          <w:trHeight w:val="344"/>
          <w:tblHeader/>
        </w:trPr>
        <w:tc>
          <w:tcPr>
            <w:tcW w:w="7508" w:type="dxa"/>
            <w:shd w:val="clear" w:color="auto" w:fill="BFBFBF" w:themeFill="background1" w:themeFillShade="BF"/>
            <w:vAlign w:val="center"/>
            <w:hideMark/>
          </w:tcPr>
          <w:p w:rsidR="00947E1B" w:rsidRPr="00263B79" w:rsidRDefault="00947E1B" w:rsidP="00D15D46">
            <w:pPr>
              <w:pStyle w:val="Textosinformato"/>
              <w:ind w:left="142"/>
              <w:jc w:val="center"/>
              <w:rPr>
                <w:rFonts w:asciiTheme="majorHAnsi" w:eastAsia="Times" w:hAnsiTheme="majorHAnsi"/>
                <w:b/>
                <w:sz w:val="24"/>
                <w:szCs w:val="24"/>
              </w:rPr>
            </w:pPr>
            <w:r w:rsidRPr="00263B79">
              <w:rPr>
                <w:rFonts w:asciiTheme="majorHAnsi" w:eastAsia="Times" w:hAnsiTheme="majorHAnsi"/>
                <w:b/>
                <w:sz w:val="24"/>
                <w:szCs w:val="24"/>
              </w:rPr>
              <w:t>Productos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  <w:hideMark/>
          </w:tcPr>
          <w:p w:rsidR="00947E1B" w:rsidRPr="00263B79" w:rsidRDefault="00947E1B" w:rsidP="00D15D46">
            <w:pPr>
              <w:pStyle w:val="Textosinformato"/>
              <w:ind w:left="108"/>
              <w:jc w:val="center"/>
              <w:rPr>
                <w:rFonts w:asciiTheme="majorHAnsi" w:eastAsia="Times" w:hAnsiTheme="majorHAnsi"/>
                <w:b/>
                <w:sz w:val="24"/>
                <w:szCs w:val="24"/>
              </w:rPr>
            </w:pPr>
            <w:r w:rsidRPr="00263B79">
              <w:rPr>
                <w:rFonts w:asciiTheme="majorHAnsi" w:eastAsia="Times" w:hAnsiTheme="majorHAnsi"/>
                <w:b/>
                <w:sz w:val="24"/>
                <w:szCs w:val="24"/>
              </w:rPr>
              <w:t>Fecha de entrega</w:t>
            </w:r>
          </w:p>
        </w:tc>
      </w:tr>
      <w:tr w:rsidR="00947E1B" w:rsidRPr="00A43D1A" w:rsidTr="004D123C">
        <w:trPr>
          <w:trHeight w:val="622"/>
        </w:trPr>
        <w:tc>
          <w:tcPr>
            <w:tcW w:w="7508" w:type="dxa"/>
            <w:vAlign w:val="center"/>
            <w:hideMark/>
          </w:tcPr>
          <w:p w:rsidR="00947E1B" w:rsidRPr="00B70F08" w:rsidRDefault="00947E1B" w:rsidP="00D15D46">
            <w:pPr>
              <w:pStyle w:val="Textosinformato"/>
              <w:ind w:left="142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Producto 1: Diagnóstico y alcance de la Evaluación de Procesos del </w:t>
            </w:r>
            <w:proofErr w:type="spellStart"/>
            <w:r w:rsidRPr="00B70F08">
              <w:rPr>
                <w:rFonts w:asciiTheme="majorHAnsi" w:eastAsia="Times" w:hAnsiTheme="majorHAnsi"/>
                <w:sz w:val="24"/>
                <w:szCs w:val="24"/>
              </w:rPr>
              <w:t>Pp</w:t>
            </w:r>
            <w:proofErr w:type="spellEnd"/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 K-040 “Proyectos de Infraestructura Ferroviaria”, contexto en que opera el </w:t>
            </w:r>
            <w:proofErr w:type="spellStart"/>
            <w:r w:rsidRPr="00B70F08">
              <w:rPr>
                <w:rFonts w:asciiTheme="majorHAnsi" w:eastAsia="Times" w:hAnsiTheme="majorHAnsi"/>
                <w:sz w:val="24"/>
                <w:szCs w:val="24"/>
              </w:rPr>
              <w:t>Pp</w:t>
            </w:r>
            <w:proofErr w:type="spellEnd"/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, técnicas de investigación a utilizarse, estrategia y plan de trabajo de campo, así como propuesta y justificación del enfoque metodológico y del diseño </w:t>
            </w:r>
            <w:proofErr w:type="spellStart"/>
            <w:r w:rsidRPr="00B70F08">
              <w:rPr>
                <w:rFonts w:asciiTheme="majorHAnsi" w:eastAsia="Times" w:hAnsiTheme="majorHAnsi"/>
                <w:sz w:val="24"/>
                <w:szCs w:val="24"/>
              </w:rPr>
              <w:t>muestral</w:t>
            </w:r>
            <w:proofErr w:type="spellEnd"/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 propuesto.</w:t>
            </w:r>
          </w:p>
        </w:tc>
        <w:tc>
          <w:tcPr>
            <w:tcW w:w="2552" w:type="dxa"/>
            <w:vAlign w:val="center"/>
            <w:hideMark/>
          </w:tcPr>
          <w:p w:rsidR="00947E1B" w:rsidRPr="00B70F08" w:rsidRDefault="000E6D20" w:rsidP="004D123C">
            <w:pPr>
              <w:pStyle w:val="Textosinformato"/>
              <w:ind w:left="108"/>
              <w:rPr>
                <w:rFonts w:asciiTheme="majorHAnsi" w:eastAsia="Times" w:hAnsiTheme="majorHAnsi"/>
                <w:sz w:val="24"/>
                <w:szCs w:val="24"/>
              </w:rPr>
            </w:pPr>
            <w:r>
              <w:rPr>
                <w:rFonts w:asciiTheme="majorHAnsi" w:eastAsia="Times" w:hAnsiTheme="majorHAnsi"/>
                <w:bCs/>
                <w:i/>
                <w:sz w:val="24"/>
                <w:szCs w:val="24"/>
                <w:lang w:val="es-MX"/>
              </w:rPr>
              <w:t>25</w:t>
            </w:r>
            <w:bookmarkStart w:id="1" w:name="_GoBack"/>
            <w:bookmarkEnd w:id="1"/>
            <w:r w:rsidR="004D123C" w:rsidRPr="00B70F08">
              <w:rPr>
                <w:rFonts w:asciiTheme="majorHAnsi" w:eastAsia="Times" w:hAnsiTheme="majorHAnsi"/>
                <w:bCs/>
                <w:i/>
                <w:sz w:val="24"/>
                <w:szCs w:val="24"/>
                <w:lang w:val="es-MX"/>
              </w:rPr>
              <w:t xml:space="preserve"> de </w:t>
            </w:r>
            <w:r w:rsidR="004D123C">
              <w:rPr>
                <w:rFonts w:asciiTheme="majorHAnsi" w:eastAsia="Times" w:hAnsiTheme="majorHAnsi"/>
                <w:bCs/>
                <w:i/>
                <w:sz w:val="24"/>
                <w:szCs w:val="24"/>
                <w:lang w:val="es-MX"/>
              </w:rPr>
              <w:t>mayo de 2018.</w:t>
            </w:r>
          </w:p>
        </w:tc>
      </w:tr>
      <w:tr w:rsidR="00947E1B" w:rsidRPr="00A43D1A" w:rsidTr="004D123C">
        <w:trPr>
          <w:trHeight w:val="519"/>
        </w:trPr>
        <w:tc>
          <w:tcPr>
            <w:tcW w:w="7508" w:type="dxa"/>
            <w:vAlign w:val="center"/>
            <w:hideMark/>
          </w:tcPr>
          <w:p w:rsidR="00947E1B" w:rsidRPr="00B70F08" w:rsidRDefault="00947E1B" w:rsidP="00D15D46">
            <w:pPr>
              <w:pStyle w:val="Textosinformato"/>
              <w:ind w:left="142"/>
              <w:jc w:val="both"/>
              <w:rPr>
                <w:rFonts w:asciiTheme="majorHAnsi" w:eastAsia="Times" w:hAnsiTheme="majorHAnsi"/>
                <w:sz w:val="24"/>
                <w:szCs w:val="24"/>
                <w:lang w:val="es-MX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Producto 2: Informe preliminar de la Evaluación de Procesos del </w:t>
            </w:r>
            <w:proofErr w:type="spellStart"/>
            <w:r w:rsidRPr="00B70F08">
              <w:rPr>
                <w:rFonts w:asciiTheme="majorHAnsi" w:eastAsia="Times" w:hAnsiTheme="majorHAnsi"/>
                <w:sz w:val="24"/>
                <w:szCs w:val="24"/>
              </w:rPr>
              <w:t>Pp</w:t>
            </w:r>
            <w:proofErr w:type="spellEnd"/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  K-040 “Proyectos de Infraestructura Ferroviaria” </w:t>
            </w:r>
            <w:r w:rsidRPr="00B70F08">
              <w:rPr>
                <w:rFonts w:asciiTheme="majorHAnsi" w:eastAsia="Times" w:hAnsiTheme="majorHAnsi"/>
                <w:sz w:val="24"/>
                <w:szCs w:val="24"/>
                <w:lang w:val="es-MX"/>
              </w:rPr>
              <w:t>con, al menos, los siguientes apartados:</w:t>
            </w:r>
          </w:p>
          <w:p w:rsidR="00947E1B" w:rsidRPr="00B70F08" w:rsidRDefault="00947E1B" w:rsidP="00947E1B">
            <w:pPr>
              <w:pStyle w:val="Textosinformato"/>
              <w:numPr>
                <w:ilvl w:val="0"/>
                <w:numId w:val="2"/>
              </w:numPr>
              <w:ind w:left="284" w:firstLine="0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>Resumen ejecutivo</w:t>
            </w:r>
          </w:p>
          <w:p w:rsidR="00947E1B" w:rsidRPr="00B70F08" w:rsidRDefault="00947E1B" w:rsidP="00947E1B">
            <w:pPr>
              <w:pStyle w:val="Textosinformato"/>
              <w:numPr>
                <w:ilvl w:val="0"/>
                <w:numId w:val="2"/>
              </w:numPr>
              <w:ind w:left="284" w:firstLine="0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>Introducción</w:t>
            </w:r>
          </w:p>
          <w:p w:rsidR="00947E1B" w:rsidRPr="00B70F08" w:rsidRDefault="00947E1B" w:rsidP="00947E1B">
            <w:pPr>
              <w:pStyle w:val="Textosinformato"/>
              <w:numPr>
                <w:ilvl w:val="0"/>
                <w:numId w:val="2"/>
              </w:numPr>
              <w:shd w:val="clear" w:color="000000" w:fill="FFFFFF"/>
              <w:spacing w:before="100" w:beforeAutospacing="1" w:after="100" w:afterAutospacing="1"/>
              <w:ind w:left="284" w:firstLine="0"/>
              <w:jc w:val="both"/>
              <w:textAlignment w:val="center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  <w:lang w:val="es-ES_tradnl"/>
              </w:rPr>
              <w:t xml:space="preserve">Contexto en que opera el </w:t>
            </w:r>
            <w:proofErr w:type="spellStart"/>
            <w:r w:rsidRPr="00B70F08">
              <w:rPr>
                <w:rFonts w:asciiTheme="majorHAnsi" w:eastAsia="Times" w:hAnsiTheme="majorHAnsi"/>
                <w:sz w:val="24"/>
                <w:szCs w:val="24"/>
                <w:lang w:val="es-ES_tradnl"/>
              </w:rPr>
              <w:t>Pp</w:t>
            </w:r>
            <w:proofErr w:type="spellEnd"/>
          </w:p>
          <w:p w:rsidR="00947E1B" w:rsidRPr="00B70F08" w:rsidRDefault="00947E1B" w:rsidP="00947E1B">
            <w:pPr>
              <w:pStyle w:val="Textosinformato"/>
              <w:numPr>
                <w:ilvl w:val="0"/>
                <w:numId w:val="2"/>
              </w:numPr>
              <w:shd w:val="clear" w:color="000000" w:fill="FFFFFF"/>
              <w:spacing w:before="100" w:beforeAutospacing="1" w:after="100" w:afterAutospacing="1"/>
              <w:ind w:left="284" w:firstLine="0"/>
              <w:jc w:val="both"/>
              <w:textAlignment w:val="center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  <w:lang w:val="es-ES_tradnl"/>
              </w:rPr>
              <w:t>Diagnóstico inicial de los procesos y subprocesos</w:t>
            </w:r>
          </w:p>
          <w:p w:rsidR="00947E1B" w:rsidRPr="00B70F08" w:rsidRDefault="00947E1B" w:rsidP="00947E1B">
            <w:pPr>
              <w:pStyle w:val="Textosinformato"/>
              <w:numPr>
                <w:ilvl w:val="0"/>
                <w:numId w:val="2"/>
              </w:numPr>
              <w:shd w:val="clear" w:color="000000" w:fill="FFFFFF"/>
              <w:spacing w:before="100" w:beforeAutospacing="1" w:after="100" w:afterAutospacing="1"/>
              <w:ind w:left="709" w:hanging="425"/>
              <w:jc w:val="both"/>
              <w:textAlignment w:val="center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  <w:lang w:val="es-ES_tradnl"/>
              </w:rPr>
              <w:t>Alcance y enfoque metodológico de la evaluación de procesos</w:t>
            </w:r>
          </w:p>
          <w:p w:rsidR="00947E1B" w:rsidRPr="00B70F08" w:rsidRDefault="00947E1B" w:rsidP="00947E1B">
            <w:pPr>
              <w:pStyle w:val="Textosinformato"/>
              <w:numPr>
                <w:ilvl w:val="0"/>
                <w:numId w:val="2"/>
              </w:numPr>
              <w:ind w:left="284" w:firstLine="0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  <w:lang w:val="es-ES_tradnl"/>
              </w:rPr>
              <w:t>Metodología utilizada para el desarrollo de la evaluación</w:t>
            </w:r>
            <w:r w:rsidRPr="00B70F08">
              <w:rPr>
                <w:rFonts w:asciiTheme="majorHAnsi" w:eastAsia="Times" w:hAnsiTheme="majorHAnsi"/>
                <w:sz w:val="24"/>
                <w:szCs w:val="24"/>
              </w:rPr>
              <w:t>Descripción y análisis de los procesos y subprocesos</w:t>
            </w:r>
          </w:p>
          <w:p w:rsidR="00947E1B" w:rsidRPr="00B70F08" w:rsidRDefault="00947E1B" w:rsidP="00947E1B">
            <w:pPr>
              <w:pStyle w:val="Textosinformato"/>
              <w:numPr>
                <w:ilvl w:val="0"/>
                <w:numId w:val="2"/>
              </w:numPr>
              <w:ind w:left="284" w:firstLine="0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>Medición de los atributos de los procesos y subprocesos</w:t>
            </w:r>
          </w:p>
          <w:p w:rsidR="00947E1B" w:rsidRPr="00B70F08" w:rsidRDefault="00947E1B" w:rsidP="00947E1B">
            <w:pPr>
              <w:pStyle w:val="Textosinformato"/>
              <w:numPr>
                <w:ilvl w:val="0"/>
                <w:numId w:val="2"/>
              </w:numPr>
              <w:ind w:left="284" w:firstLine="0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>Hallazgos y resultados</w:t>
            </w:r>
          </w:p>
          <w:p w:rsidR="00947E1B" w:rsidRPr="00B70F08" w:rsidRDefault="00947E1B" w:rsidP="00947E1B">
            <w:pPr>
              <w:pStyle w:val="Textosinformato"/>
              <w:numPr>
                <w:ilvl w:val="0"/>
                <w:numId w:val="2"/>
              </w:numPr>
              <w:ind w:left="284" w:firstLine="0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>Conclusiones y recomendaciones</w:t>
            </w:r>
          </w:p>
        </w:tc>
        <w:tc>
          <w:tcPr>
            <w:tcW w:w="2552" w:type="dxa"/>
            <w:vAlign w:val="center"/>
          </w:tcPr>
          <w:p w:rsidR="00947E1B" w:rsidRPr="00B70F08" w:rsidRDefault="004D123C" w:rsidP="004D123C">
            <w:pPr>
              <w:pStyle w:val="Textosinformato"/>
              <w:ind w:left="108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>
              <w:rPr>
                <w:rFonts w:asciiTheme="majorHAnsi" w:eastAsia="Times" w:hAnsiTheme="majorHAnsi"/>
                <w:bCs/>
                <w:i/>
                <w:sz w:val="24"/>
                <w:szCs w:val="24"/>
                <w:lang w:val="es-MX"/>
              </w:rPr>
              <w:t>20</w:t>
            </w:r>
            <w:r w:rsidR="00947E1B" w:rsidRPr="00B70F08">
              <w:rPr>
                <w:rFonts w:asciiTheme="majorHAnsi" w:eastAsia="Times" w:hAnsiTheme="majorHAnsi"/>
                <w:bCs/>
                <w:i/>
                <w:sz w:val="24"/>
                <w:szCs w:val="24"/>
                <w:lang w:val="es-MX"/>
              </w:rPr>
              <w:t xml:space="preserve"> de </w:t>
            </w:r>
            <w:r>
              <w:rPr>
                <w:rFonts w:asciiTheme="majorHAnsi" w:eastAsia="Times" w:hAnsiTheme="majorHAnsi"/>
                <w:bCs/>
                <w:i/>
                <w:sz w:val="24"/>
                <w:szCs w:val="24"/>
                <w:lang w:val="es-MX"/>
              </w:rPr>
              <w:t>junio</w:t>
            </w:r>
            <w:r w:rsidR="00947E1B">
              <w:rPr>
                <w:rFonts w:asciiTheme="majorHAnsi" w:eastAsia="Times" w:hAnsiTheme="majorHAnsi"/>
                <w:bCs/>
                <w:i/>
                <w:sz w:val="24"/>
                <w:szCs w:val="24"/>
                <w:lang w:val="es-MX"/>
              </w:rPr>
              <w:t xml:space="preserve"> de 2018</w:t>
            </w:r>
            <w:r w:rsidR="00947E1B" w:rsidRPr="00B70F08">
              <w:rPr>
                <w:rFonts w:asciiTheme="majorHAnsi" w:eastAsia="Times" w:hAnsiTheme="majorHAnsi"/>
                <w:bCs/>
                <w:i/>
                <w:sz w:val="24"/>
                <w:szCs w:val="24"/>
                <w:lang w:val="es-MX"/>
              </w:rPr>
              <w:t>.</w:t>
            </w:r>
          </w:p>
        </w:tc>
      </w:tr>
      <w:tr w:rsidR="00947E1B" w:rsidRPr="00A43D1A" w:rsidTr="004D123C">
        <w:trPr>
          <w:trHeight w:val="519"/>
        </w:trPr>
        <w:tc>
          <w:tcPr>
            <w:tcW w:w="7508" w:type="dxa"/>
            <w:vAlign w:val="center"/>
            <w:hideMark/>
          </w:tcPr>
          <w:p w:rsidR="00947E1B" w:rsidRPr="00B70F08" w:rsidRDefault="00947E1B" w:rsidP="00D15D46">
            <w:pPr>
              <w:pStyle w:val="Textosinformato"/>
              <w:ind w:left="142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Producto 3: Informe Final de Evaluación de Procesos del </w:t>
            </w:r>
            <w:proofErr w:type="spellStart"/>
            <w:r w:rsidRPr="00B70F08">
              <w:rPr>
                <w:rFonts w:asciiTheme="majorHAnsi" w:eastAsia="Times" w:hAnsiTheme="majorHAnsi"/>
                <w:sz w:val="24"/>
                <w:szCs w:val="24"/>
              </w:rPr>
              <w:t>Pp</w:t>
            </w:r>
            <w:proofErr w:type="spellEnd"/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  K-040 “Proyectos de Infraestructura Ferroviaria” con, al menos, los siguientes apartados:</w:t>
            </w:r>
          </w:p>
          <w:p w:rsidR="00947E1B" w:rsidRPr="00B70F08" w:rsidRDefault="00947E1B" w:rsidP="00947E1B">
            <w:pPr>
              <w:pStyle w:val="Textosinformato"/>
              <w:numPr>
                <w:ilvl w:val="0"/>
                <w:numId w:val="3"/>
              </w:numPr>
              <w:ind w:left="284" w:firstLine="0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Resumen Ejecutivo </w:t>
            </w:r>
          </w:p>
          <w:p w:rsidR="00947E1B" w:rsidRPr="00B70F08" w:rsidRDefault="00947E1B" w:rsidP="00947E1B">
            <w:pPr>
              <w:pStyle w:val="Textosinformato"/>
              <w:numPr>
                <w:ilvl w:val="0"/>
                <w:numId w:val="3"/>
              </w:numPr>
              <w:ind w:left="284" w:firstLine="0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>Índice</w:t>
            </w:r>
          </w:p>
          <w:p w:rsidR="00947E1B" w:rsidRPr="00B70F08" w:rsidRDefault="00947E1B" w:rsidP="00947E1B">
            <w:pPr>
              <w:pStyle w:val="Textosinformato"/>
              <w:numPr>
                <w:ilvl w:val="0"/>
                <w:numId w:val="3"/>
              </w:numPr>
              <w:ind w:left="284" w:firstLine="0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>Introducción</w:t>
            </w:r>
          </w:p>
          <w:p w:rsidR="00947E1B" w:rsidRPr="00B70F08" w:rsidRDefault="00947E1B" w:rsidP="00947E1B">
            <w:pPr>
              <w:pStyle w:val="Textosinformato"/>
              <w:numPr>
                <w:ilvl w:val="0"/>
                <w:numId w:val="3"/>
              </w:numPr>
              <w:ind w:left="284" w:firstLine="0"/>
              <w:jc w:val="both"/>
              <w:rPr>
                <w:rFonts w:asciiTheme="majorHAnsi" w:eastAsia="Times" w:hAnsiTheme="majorHAnsi"/>
                <w:sz w:val="24"/>
                <w:szCs w:val="24"/>
                <w:lang w:val="es-ES_tradnl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  <w:lang w:val="es-ES_tradnl"/>
              </w:rPr>
              <w:t>Diagnóstico inicial de los procesos y subprocesos</w:t>
            </w:r>
          </w:p>
          <w:p w:rsidR="00947E1B" w:rsidRPr="00B70F08" w:rsidRDefault="00947E1B" w:rsidP="00947E1B">
            <w:pPr>
              <w:pStyle w:val="Textosinformato"/>
              <w:numPr>
                <w:ilvl w:val="0"/>
                <w:numId w:val="3"/>
              </w:numPr>
              <w:ind w:left="284" w:firstLine="0"/>
              <w:jc w:val="both"/>
              <w:rPr>
                <w:rFonts w:asciiTheme="majorHAnsi" w:eastAsia="Times" w:hAnsiTheme="majorHAnsi"/>
                <w:sz w:val="24"/>
                <w:szCs w:val="24"/>
                <w:lang w:val="es-ES_tradnl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  <w:lang w:val="es-ES_tradnl"/>
              </w:rPr>
              <w:t>Alcance y enfoque metodológico de la evaluación de procesos</w:t>
            </w:r>
          </w:p>
          <w:p w:rsidR="00947E1B" w:rsidRPr="00B70F08" w:rsidRDefault="00947E1B" w:rsidP="00947E1B">
            <w:pPr>
              <w:pStyle w:val="Textosinformato"/>
              <w:numPr>
                <w:ilvl w:val="0"/>
                <w:numId w:val="3"/>
              </w:numPr>
              <w:ind w:left="284" w:firstLine="0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  <w:lang w:val="es-ES_tradnl"/>
              </w:rPr>
              <w:t>Metodología utilizada para el desarrollo de la evaluación</w:t>
            </w:r>
          </w:p>
          <w:p w:rsidR="00947E1B" w:rsidRPr="00B70F08" w:rsidRDefault="00947E1B" w:rsidP="00947E1B">
            <w:pPr>
              <w:pStyle w:val="Textosinformato"/>
              <w:numPr>
                <w:ilvl w:val="0"/>
                <w:numId w:val="3"/>
              </w:numPr>
              <w:ind w:left="284" w:firstLine="0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>Descripción y análisis de los procesos y subprocesos</w:t>
            </w:r>
          </w:p>
          <w:p w:rsidR="00947E1B" w:rsidRPr="00B70F08" w:rsidRDefault="00947E1B" w:rsidP="00947E1B">
            <w:pPr>
              <w:pStyle w:val="Textosinformato"/>
              <w:numPr>
                <w:ilvl w:val="0"/>
                <w:numId w:val="3"/>
              </w:numPr>
              <w:ind w:left="284" w:firstLine="0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>Medición de los atributos de los procesos y subprocesos</w:t>
            </w:r>
          </w:p>
          <w:p w:rsidR="00947E1B" w:rsidRPr="00B70F08" w:rsidRDefault="00947E1B" w:rsidP="00947E1B">
            <w:pPr>
              <w:pStyle w:val="Textosinformato"/>
              <w:numPr>
                <w:ilvl w:val="0"/>
                <w:numId w:val="3"/>
              </w:numPr>
              <w:ind w:left="284" w:firstLine="0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>Hallazgos y resultados</w:t>
            </w:r>
          </w:p>
          <w:p w:rsidR="00947E1B" w:rsidRPr="00B70F08" w:rsidRDefault="00947E1B" w:rsidP="00947E1B">
            <w:pPr>
              <w:pStyle w:val="Textosinformato"/>
              <w:numPr>
                <w:ilvl w:val="0"/>
                <w:numId w:val="3"/>
              </w:numPr>
              <w:ind w:left="284" w:firstLine="0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>Conclusiones y recomendaciones</w:t>
            </w:r>
          </w:p>
          <w:p w:rsidR="00947E1B" w:rsidRPr="00B70F08" w:rsidRDefault="00947E1B" w:rsidP="00947E1B">
            <w:pPr>
              <w:pStyle w:val="Textosinformato"/>
              <w:numPr>
                <w:ilvl w:val="0"/>
                <w:numId w:val="3"/>
              </w:numPr>
              <w:ind w:left="284" w:firstLine="0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lastRenderedPageBreak/>
              <w:t>Anexos:</w:t>
            </w:r>
          </w:p>
          <w:p w:rsidR="00947E1B" w:rsidRPr="00B70F08" w:rsidRDefault="00947E1B" w:rsidP="00D15D46">
            <w:pPr>
              <w:pStyle w:val="Textosinformato"/>
              <w:ind w:left="142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Anexo I. Ficha técnica de identificación del </w:t>
            </w:r>
            <w:proofErr w:type="spellStart"/>
            <w:r w:rsidRPr="00B70F08">
              <w:rPr>
                <w:rFonts w:asciiTheme="majorHAnsi" w:eastAsia="Times" w:hAnsiTheme="majorHAnsi"/>
                <w:sz w:val="24"/>
                <w:szCs w:val="24"/>
              </w:rPr>
              <w:t>Pp</w:t>
            </w:r>
            <w:proofErr w:type="spellEnd"/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 </w:t>
            </w:r>
          </w:p>
          <w:p w:rsidR="00947E1B" w:rsidRPr="00B70F08" w:rsidRDefault="00947E1B" w:rsidP="00D15D46">
            <w:pPr>
              <w:pStyle w:val="Textosinformato"/>
              <w:ind w:left="142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Anexo II. Ficha de identificación y equivalencia de procesos del </w:t>
            </w:r>
            <w:proofErr w:type="spellStart"/>
            <w:r w:rsidRPr="00B70F08">
              <w:rPr>
                <w:rFonts w:asciiTheme="majorHAnsi" w:eastAsia="Times" w:hAnsiTheme="majorHAnsi"/>
                <w:sz w:val="24"/>
                <w:szCs w:val="24"/>
              </w:rPr>
              <w:t>Pp</w:t>
            </w:r>
            <w:proofErr w:type="spellEnd"/>
          </w:p>
          <w:p w:rsidR="00947E1B" w:rsidRPr="00B70F08" w:rsidRDefault="00947E1B" w:rsidP="00D15D46">
            <w:pPr>
              <w:pStyle w:val="Textosinformato"/>
              <w:ind w:left="142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Anexo III. Diagramas de flujo de la operación del </w:t>
            </w:r>
            <w:proofErr w:type="spellStart"/>
            <w:r w:rsidRPr="00B70F08">
              <w:rPr>
                <w:rFonts w:asciiTheme="majorHAnsi" w:eastAsia="Times" w:hAnsiTheme="majorHAnsi"/>
                <w:sz w:val="24"/>
                <w:szCs w:val="24"/>
              </w:rPr>
              <w:t>Pp</w:t>
            </w:r>
            <w:proofErr w:type="spellEnd"/>
          </w:p>
          <w:p w:rsidR="00947E1B" w:rsidRPr="00B70F08" w:rsidRDefault="00947E1B" w:rsidP="00D15D46">
            <w:pPr>
              <w:pStyle w:val="Textosinformato"/>
              <w:ind w:left="142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Anexo IV. Fichas de Indicadores de atributos del </w:t>
            </w:r>
            <w:proofErr w:type="spellStart"/>
            <w:r w:rsidRPr="00B70F08">
              <w:rPr>
                <w:rFonts w:asciiTheme="majorHAnsi" w:eastAsia="Times" w:hAnsiTheme="majorHAnsi"/>
                <w:sz w:val="24"/>
                <w:szCs w:val="24"/>
              </w:rPr>
              <w:t>Pp</w:t>
            </w:r>
            <w:proofErr w:type="spellEnd"/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 (formato libre)</w:t>
            </w:r>
          </w:p>
          <w:p w:rsidR="00947E1B" w:rsidRPr="00B70F08" w:rsidRDefault="00947E1B" w:rsidP="00D15D46">
            <w:pPr>
              <w:pStyle w:val="Textosinformato"/>
              <w:ind w:left="142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Anexo V. Propuesta de modificación a </w:t>
            </w:r>
            <w:r w:rsidRPr="00B70F08">
              <w:rPr>
                <w:rFonts w:asciiTheme="majorHAnsi" w:hAnsiTheme="majorHAnsi" w:cs="Arial"/>
                <w:sz w:val="24"/>
                <w:szCs w:val="24"/>
              </w:rPr>
              <w:t xml:space="preserve"> los documentos normativos o institucionales </w:t>
            </w:r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del </w:t>
            </w:r>
            <w:proofErr w:type="spellStart"/>
            <w:r w:rsidRPr="00B70F08">
              <w:rPr>
                <w:rFonts w:asciiTheme="majorHAnsi" w:eastAsia="Times" w:hAnsiTheme="majorHAnsi"/>
                <w:sz w:val="24"/>
                <w:szCs w:val="24"/>
              </w:rPr>
              <w:t>Pp</w:t>
            </w:r>
            <w:proofErr w:type="spellEnd"/>
          </w:p>
          <w:p w:rsidR="00947E1B" w:rsidRPr="00B70F08" w:rsidRDefault="00947E1B" w:rsidP="00D15D46">
            <w:pPr>
              <w:pStyle w:val="Textosinformato"/>
              <w:ind w:left="142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Anexo VI. Análisis FODA  la operación del </w:t>
            </w:r>
            <w:proofErr w:type="spellStart"/>
            <w:r w:rsidRPr="00B70F08">
              <w:rPr>
                <w:rFonts w:asciiTheme="majorHAnsi" w:eastAsia="Times" w:hAnsiTheme="majorHAnsi"/>
                <w:sz w:val="24"/>
                <w:szCs w:val="24"/>
              </w:rPr>
              <w:t>Pp</w:t>
            </w:r>
            <w:proofErr w:type="spellEnd"/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 </w:t>
            </w:r>
          </w:p>
          <w:p w:rsidR="00947E1B" w:rsidRPr="00B70F08" w:rsidRDefault="00947E1B" w:rsidP="00D15D46">
            <w:pPr>
              <w:pStyle w:val="Textosinformato"/>
              <w:ind w:left="142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Anexo VII. </w:t>
            </w:r>
            <w:r w:rsidRPr="00B70F08">
              <w:rPr>
                <w:rFonts w:asciiTheme="majorHAnsi" w:hAnsiTheme="majorHAnsi" w:cs="Arial"/>
                <w:sz w:val="24"/>
                <w:szCs w:val="24"/>
                <w:lang w:val="es-ES_tradnl"/>
              </w:rPr>
              <w:t xml:space="preserve"> Valoración global cuantitativa</w:t>
            </w:r>
          </w:p>
          <w:p w:rsidR="00947E1B" w:rsidRPr="00B70F08" w:rsidRDefault="00947E1B" w:rsidP="00D15D46">
            <w:pPr>
              <w:pStyle w:val="Textosinformato"/>
              <w:ind w:left="142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>Anexo VIII. Recomendaciones de la Evaluación de Procesos</w:t>
            </w:r>
          </w:p>
          <w:p w:rsidR="00947E1B" w:rsidRPr="00B70F08" w:rsidRDefault="00947E1B" w:rsidP="00D15D46">
            <w:pPr>
              <w:pStyle w:val="Textosinformato"/>
              <w:ind w:left="142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Anexo IX. Sistema de monitoreo e indicadores de gestión del </w:t>
            </w:r>
            <w:proofErr w:type="spellStart"/>
            <w:r w:rsidRPr="00B70F08">
              <w:rPr>
                <w:rFonts w:asciiTheme="majorHAnsi" w:eastAsia="Times" w:hAnsiTheme="majorHAnsi"/>
                <w:sz w:val="24"/>
                <w:szCs w:val="24"/>
              </w:rPr>
              <w:t>Pp</w:t>
            </w:r>
            <w:proofErr w:type="spellEnd"/>
            <w:r w:rsidRPr="00B70F08">
              <w:rPr>
                <w:rFonts w:asciiTheme="majorHAnsi" w:eastAsia="Times" w:hAnsiTheme="majorHAnsi"/>
                <w:sz w:val="24"/>
                <w:szCs w:val="24"/>
              </w:rPr>
              <w:t xml:space="preserve"> (formato libre)</w:t>
            </w:r>
          </w:p>
          <w:p w:rsidR="00947E1B" w:rsidRPr="00B70F08" w:rsidRDefault="00947E1B" w:rsidP="00D15D46">
            <w:pPr>
              <w:pStyle w:val="Textosinformato"/>
              <w:ind w:left="142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>Anexo X. Estudios de caso: descripciones en profundidad y análisis. (formato libre)</w:t>
            </w:r>
          </w:p>
          <w:p w:rsidR="00947E1B" w:rsidRPr="00B70F08" w:rsidRDefault="00947E1B" w:rsidP="00D15D46">
            <w:pPr>
              <w:pStyle w:val="Textosinformato"/>
              <w:ind w:left="142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>Anexo XI. Bitácora de trabajo de campo (formato libre)</w:t>
            </w:r>
          </w:p>
          <w:p w:rsidR="00947E1B" w:rsidRPr="00B70F08" w:rsidRDefault="00947E1B" w:rsidP="00D15D46">
            <w:pPr>
              <w:pStyle w:val="Textosinformato"/>
              <w:ind w:left="142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>Anexo XII. Bases de datos (formato libre)</w:t>
            </w:r>
          </w:p>
          <w:p w:rsidR="00947E1B" w:rsidRPr="00B70F08" w:rsidRDefault="00947E1B" w:rsidP="00D15D46">
            <w:pPr>
              <w:pStyle w:val="Textosinformato"/>
              <w:ind w:left="142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>Anexo XIII. Instrumentos de recolección de información diseñados por el equipo evaluador (formato libre)</w:t>
            </w:r>
          </w:p>
          <w:p w:rsidR="00947E1B" w:rsidRPr="00B70F08" w:rsidRDefault="00947E1B" w:rsidP="00D15D46">
            <w:pPr>
              <w:pStyle w:val="Textosinformato"/>
              <w:ind w:left="142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 w:rsidRPr="00B70F08">
              <w:rPr>
                <w:rFonts w:asciiTheme="majorHAnsi" w:eastAsia="Times" w:hAnsiTheme="majorHAnsi"/>
                <w:sz w:val="24"/>
                <w:szCs w:val="24"/>
              </w:rPr>
              <w:t>Anexo XIV. Ficha técnica con los datos generales de la evaluación</w:t>
            </w:r>
          </w:p>
          <w:p w:rsidR="00947E1B" w:rsidRPr="00B70F08" w:rsidRDefault="00947E1B" w:rsidP="00D15D46">
            <w:pPr>
              <w:pStyle w:val="Textosinformato"/>
              <w:ind w:left="142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</w:p>
          <w:p w:rsidR="00947E1B" w:rsidRPr="00B70F08" w:rsidRDefault="00947E1B" w:rsidP="00D15D46">
            <w:pPr>
              <w:pStyle w:val="Textosinformato"/>
              <w:ind w:left="142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947E1B" w:rsidRPr="00B70F08" w:rsidRDefault="004D123C" w:rsidP="004D123C">
            <w:pPr>
              <w:pStyle w:val="Textosinformato"/>
              <w:ind w:left="108"/>
              <w:jc w:val="both"/>
              <w:rPr>
                <w:rFonts w:asciiTheme="majorHAnsi" w:eastAsia="Times" w:hAnsiTheme="majorHAnsi"/>
                <w:sz w:val="24"/>
                <w:szCs w:val="24"/>
              </w:rPr>
            </w:pPr>
            <w:r>
              <w:rPr>
                <w:rFonts w:asciiTheme="majorHAnsi" w:eastAsia="Times" w:hAnsiTheme="majorHAnsi"/>
                <w:bCs/>
                <w:i/>
                <w:sz w:val="24"/>
                <w:szCs w:val="24"/>
                <w:lang w:val="es-MX"/>
              </w:rPr>
              <w:lastRenderedPageBreak/>
              <w:t>29</w:t>
            </w:r>
            <w:r w:rsidR="00947E1B" w:rsidRPr="00B70F08">
              <w:rPr>
                <w:rFonts w:asciiTheme="majorHAnsi" w:eastAsia="Times" w:hAnsiTheme="majorHAnsi"/>
                <w:bCs/>
                <w:i/>
                <w:sz w:val="24"/>
                <w:szCs w:val="24"/>
                <w:lang w:val="es-MX"/>
              </w:rPr>
              <w:t xml:space="preserve"> de </w:t>
            </w:r>
            <w:r>
              <w:rPr>
                <w:rFonts w:asciiTheme="majorHAnsi" w:eastAsia="Times" w:hAnsiTheme="majorHAnsi"/>
                <w:bCs/>
                <w:i/>
                <w:sz w:val="24"/>
                <w:szCs w:val="24"/>
                <w:lang w:val="es-MX"/>
              </w:rPr>
              <w:t>junio</w:t>
            </w:r>
            <w:r w:rsidR="00947E1B">
              <w:rPr>
                <w:rFonts w:asciiTheme="majorHAnsi" w:eastAsia="Times" w:hAnsiTheme="majorHAnsi"/>
                <w:bCs/>
                <w:i/>
                <w:sz w:val="24"/>
                <w:szCs w:val="24"/>
                <w:lang w:val="es-MX"/>
              </w:rPr>
              <w:t xml:space="preserve"> de 2018.</w:t>
            </w:r>
          </w:p>
        </w:tc>
      </w:tr>
    </w:tbl>
    <w:p w:rsidR="00E93520" w:rsidRDefault="00E235CC"/>
    <w:sectPr w:rsidR="00E9352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5CC" w:rsidRDefault="00E235CC" w:rsidP="00947E1B">
      <w:r>
        <w:separator/>
      </w:r>
    </w:p>
  </w:endnote>
  <w:endnote w:type="continuationSeparator" w:id="0">
    <w:p w:rsidR="00E235CC" w:rsidRDefault="00E235CC" w:rsidP="00947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utura Lt">
    <w:charset w:val="00"/>
    <w:family w:val="auto"/>
    <w:pitch w:val="variable"/>
    <w:sig w:usb0="80000067" w:usb1="00000000" w:usb2="00000000" w:usb3="00000000" w:csb0="000001F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5CC" w:rsidRDefault="00E235CC" w:rsidP="00947E1B">
      <w:r>
        <w:separator/>
      </w:r>
    </w:p>
  </w:footnote>
  <w:footnote w:type="continuationSeparator" w:id="0">
    <w:p w:rsidR="00E235CC" w:rsidRDefault="00E235CC" w:rsidP="00947E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2"/>
      <w:gridCol w:w="5866"/>
    </w:tblGrid>
    <w:tr w:rsidR="00947E1B" w:rsidRPr="00357802" w:rsidTr="00D15D46">
      <w:tc>
        <w:tcPr>
          <w:tcW w:w="3085" w:type="dxa"/>
        </w:tcPr>
        <w:p w:rsidR="00947E1B" w:rsidRPr="00357802" w:rsidRDefault="00947E1B" w:rsidP="00947E1B">
          <w:pPr>
            <w:jc w:val="right"/>
            <w:rPr>
              <w:rFonts w:asciiTheme="majorHAnsi" w:hAnsiTheme="majorHAnsi"/>
            </w:rPr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59264" behindDoc="1" locked="0" layoutInCell="1" allowOverlap="1" wp14:anchorId="2E3864EE" wp14:editId="4484C019">
                <wp:simplePos x="0" y="0"/>
                <wp:positionH relativeFrom="column">
                  <wp:posOffset>-68580</wp:posOffset>
                </wp:positionH>
                <wp:positionV relativeFrom="paragraph">
                  <wp:posOffset>-57785</wp:posOffset>
                </wp:positionV>
                <wp:extent cx="1481455" cy="678180"/>
                <wp:effectExtent l="0" t="0" r="4445" b="7620"/>
                <wp:wrapTight wrapText="bothSides">
                  <wp:wrapPolygon edited="0">
                    <wp:start x="0" y="0"/>
                    <wp:lineTo x="0" y="21236"/>
                    <wp:lineTo x="21387" y="21236"/>
                    <wp:lineTo x="21387" y="0"/>
                    <wp:lineTo x="0" y="0"/>
                  </wp:wrapPolygon>
                </wp:wrapTight>
                <wp:docPr id="21" name="Imagen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294" t="33366" r="26723" b="2890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1455" cy="678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978" w:type="dxa"/>
        </w:tcPr>
        <w:p w:rsidR="00947E1B" w:rsidRDefault="00947E1B" w:rsidP="00947E1B">
          <w:pPr>
            <w:pStyle w:val="Encabezado"/>
            <w:rPr>
              <w:rFonts w:asciiTheme="majorHAnsi" w:hAnsiTheme="majorHAnsi"/>
            </w:rPr>
          </w:pPr>
        </w:p>
        <w:p w:rsidR="00947E1B" w:rsidRDefault="00947E1B" w:rsidP="00947E1B">
          <w:pPr>
            <w:pStyle w:val="Encabezado"/>
            <w:rPr>
              <w:rFonts w:asciiTheme="majorHAnsi" w:hAnsiTheme="majorHAnsi"/>
            </w:rPr>
          </w:pPr>
          <w:r>
            <w:rPr>
              <w:rFonts w:asciiTheme="majorHAnsi" w:hAnsiTheme="majorHAnsi"/>
            </w:rPr>
            <w:t xml:space="preserve">Secretaría de Comunicaciones y Transportes </w:t>
          </w:r>
        </w:p>
        <w:p w:rsidR="00947E1B" w:rsidRPr="00357802" w:rsidRDefault="00947E1B" w:rsidP="00947E1B">
          <w:pPr>
            <w:pStyle w:val="Encabezado"/>
            <w:rPr>
              <w:rFonts w:asciiTheme="majorHAnsi" w:hAnsiTheme="majorHAnsi"/>
            </w:rPr>
          </w:pPr>
          <w:r>
            <w:rPr>
              <w:rFonts w:asciiTheme="majorHAnsi" w:hAnsiTheme="majorHAnsi"/>
            </w:rPr>
            <w:t>Dirección General de Desarrollo Ferroviario y Multimodal</w:t>
          </w:r>
        </w:p>
      </w:tc>
    </w:tr>
  </w:tbl>
  <w:p w:rsidR="00947E1B" w:rsidRDefault="00947E1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46221"/>
    <w:multiLevelType w:val="hybridMultilevel"/>
    <w:tmpl w:val="DF8CAB16"/>
    <w:lvl w:ilvl="0" w:tplc="7E1C70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EDAA61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621CF"/>
    <w:multiLevelType w:val="hybridMultilevel"/>
    <w:tmpl w:val="89CE13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C467E7"/>
    <w:multiLevelType w:val="hybridMultilevel"/>
    <w:tmpl w:val="9FA2A9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E1B"/>
    <w:rsid w:val="000E6D20"/>
    <w:rsid w:val="004D123C"/>
    <w:rsid w:val="00832BA3"/>
    <w:rsid w:val="00947E1B"/>
    <w:rsid w:val="00A81ED6"/>
    <w:rsid w:val="00CD457E"/>
    <w:rsid w:val="00D941D2"/>
    <w:rsid w:val="00E2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6757E3-7AC1-49AF-88CF-8D386D89A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E1B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947E1B"/>
    <w:rPr>
      <w:rFonts w:ascii="Courier New" w:eastAsia="Times New Roman" w:hAnsi="Courier New" w:cs="Courier New"/>
      <w:sz w:val="20"/>
      <w:szCs w:val="20"/>
      <w:lang w:val="es-ES"/>
    </w:rPr>
  </w:style>
  <w:style w:type="character" w:customStyle="1" w:styleId="TextosinformatoCar">
    <w:name w:val="Texto sin formato Car"/>
    <w:basedOn w:val="Fuentedeprrafopredeter"/>
    <w:link w:val="Textosinformato"/>
    <w:rsid w:val="00947E1B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Puesto">
    <w:name w:val="Title"/>
    <w:basedOn w:val="Normal"/>
    <w:link w:val="PuestoCar"/>
    <w:uiPriority w:val="99"/>
    <w:qFormat/>
    <w:rsid w:val="00947E1B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s-ES"/>
    </w:rPr>
  </w:style>
  <w:style w:type="character" w:customStyle="1" w:styleId="PuestoCar">
    <w:name w:val="Puesto Car"/>
    <w:basedOn w:val="Fuentedeprrafopredeter"/>
    <w:link w:val="Puesto"/>
    <w:uiPriority w:val="99"/>
    <w:rsid w:val="00947E1B"/>
    <w:rPr>
      <w:rFonts w:ascii="Cambria" w:eastAsia="Times New Roman" w:hAnsi="Cambria" w:cs="Times New Roman"/>
      <w:b/>
      <w:bCs/>
      <w:kern w:val="28"/>
      <w:sz w:val="32"/>
      <w:szCs w:val="32"/>
      <w:lang w:val="es-ES" w:eastAsia="es-ES"/>
    </w:rPr>
  </w:style>
  <w:style w:type="paragraph" w:customStyle="1" w:styleId="Default">
    <w:name w:val="Default"/>
    <w:rsid w:val="00947E1B"/>
    <w:pPr>
      <w:autoSpaceDE w:val="0"/>
      <w:autoSpaceDN w:val="0"/>
      <w:adjustRightInd w:val="0"/>
      <w:spacing w:after="0" w:line="240" w:lineRule="auto"/>
    </w:pPr>
    <w:rPr>
      <w:rFonts w:ascii="Futura Lt" w:eastAsia="Times New Roman" w:hAnsi="Futura Lt" w:cs="Futura Lt"/>
      <w:color w:val="000000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947E1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7E1B"/>
    <w:rPr>
      <w:rFonts w:eastAsiaTheme="minorEastAsia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947E1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7E1B"/>
    <w:rPr>
      <w:rFonts w:eastAsiaTheme="minorEastAsia"/>
      <w:sz w:val="24"/>
      <w:szCs w:val="24"/>
      <w:lang w:val="es-ES_tradnl" w:eastAsia="es-ES"/>
    </w:rPr>
  </w:style>
  <w:style w:type="table" w:styleId="Tablaconcuadrcula">
    <w:name w:val="Table Grid"/>
    <w:basedOn w:val="Tablanormal"/>
    <w:uiPriority w:val="99"/>
    <w:rsid w:val="00947E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434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 Gonzalez Rios</dc:creator>
  <cp:keywords/>
  <dc:description/>
  <cp:lastModifiedBy>Lizet Gonzalez Rios</cp:lastModifiedBy>
  <cp:revision>3</cp:revision>
  <dcterms:created xsi:type="dcterms:W3CDTF">2018-03-15T21:07:00Z</dcterms:created>
  <dcterms:modified xsi:type="dcterms:W3CDTF">2018-05-02T16:11:00Z</dcterms:modified>
</cp:coreProperties>
</file>